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969"/>
      </w:tblGrid>
      <w:tr w:rsidR="00622F59" w:rsidTr="00622F59">
        <w:tc>
          <w:tcPr>
            <w:tcW w:w="3823" w:type="dxa"/>
          </w:tcPr>
          <w:p w:rsidR="00622F59" w:rsidRDefault="000E026A" w:rsidP="006C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17795" cy="1141897"/>
                  <wp:effectExtent l="0" t="0" r="0" b="1270"/>
                  <wp:docPr id="1" name="Рисунок 1" descr="C:\Users\Администратор\Desktop\prokuratura_63_met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prokuratura_63_met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86" cy="115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F59" w:rsidRPr="00622F59" w:rsidRDefault="00622F59" w:rsidP="006C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E026A" w:rsidRPr="00622F59" w:rsidRDefault="000E026A" w:rsidP="006C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Прокуратура</w:t>
            </w:r>
          </w:p>
          <w:p w:rsidR="000E026A" w:rsidRDefault="000E026A" w:rsidP="006C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Республики Дагестан</w:t>
            </w:r>
          </w:p>
        </w:tc>
        <w:tc>
          <w:tcPr>
            <w:tcW w:w="1559" w:type="dxa"/>
          </w:tcPr>
          <w:p w:rsidR="000E026A" w:rsidRDefault="000E026A" w:rsidP="006C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2F59" w:rsidRPr="00622F59" w:rsidRDefault="00622F59" w:rsidP="006C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55883" cy="1264042"/>
                  <wp:effectExtent l="0" t="0" r="6350" b="0"/>
                  <wp:docPr id="2" name="Рисунок 2" descr="C:\Users\Администратор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25" cy="127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26A"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Министерство</w:t>
            </w:r>
          </w:p>
          <w:p w:rsidR="000E026A" w:rsidRDefault="000E026A" w:rsidP="006C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по физической культуре и спорту Республики Дагестан</w:t>
            </w:r>
          </w:p>
        </w:tc>
      </w:tr>
    </w:tbl>
    <w:p w:rsidR="000E026A" w:rsidRPr="00622F59" w:rsidRDefault="000E026A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E026A" w:rsidRPr="00622F59" w:rsidRDefault="000E026A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622F59" w:rsidRPr="00622F59" w:rsidRDefault="00622F5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D47009" w:rsidRPr="00622F59" w:rsidRDefault="00D4700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622F59" w:rsidRDefault="006C3197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0"/>
          <w:szCs w:val="50"/>
        </w:rPr>
      </w:pPr>
      <w:r w:rsidRPr="00622F59">
        <w:rPr>
          <w:rFonts w:ascii="Times New Roman" w:hAnsi="Times New Roman" w:cs="Times New Roman"/>
          <w:b/>
          <w:bCs/>
          <w:color w:val="0070C0"/>
          <w:sz w:val="50"/>
          <w:szCs w:val="50"/>
        </w:rPr>
        <w:t>ПРОТИВОДЕЙСТВИЕ</w:t>
      </w:r>
    </w:p>
    <w:p w:rsidR="006C3197" w:rsidRPr="00622F59" w:rsidRDefault="006C3197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0"/>
          <w:szCs w:val="50"/>
        </w:rPr>
      </w:pPr>
      <w:r w:rsidRPr="00622F59">
        <w:rPr>
          <w:rFonts w:ascii="Times New Roman" w:hAnsi="Times New Roman" w:cs="Times New Roman"/>
          <w:b/>
          <w:bCs/>
          <w:color w:val="0070C0"/>
          <w:sz w:val="50"/>
          <w:szCs w:val="50"/>
        </w:rPr>
        <w:t>КОРРУПЦИИ</w:t>
      </w:r>
      <w:r w:rsidR="00622F59">
        <w:rPr>
          <w:rFonts w:ascii="Times New Roman" w:hAnsi="Times New Roman" w:cs="Times New Roman"/>
          <w:b/>
          <w:bCs/>
          <w:color w:val="0070C0"/>
          <w:sz w:val="50"/>
          <w:szCs w:val="50"/>
        </w:rPr>
        <w:t xml:space="preserve"> </w:t>
      </w:r>
      <w:r w:rsidRPr="00622F59">
        <w:rPr>
          <w:rFonts w:ascii="Times New Roman" w:hAnsi="Times New Roman" w:cs="Times New Roman"/>
          <w:b/>
          <w:bCs/>
          <w:color w:val="0070C0"/>
          <w:sz w:val="50"/>
          <w:szCs w:val="50"/>
        </w:rPr>
        <w:t>В СПОРТЕ</w:t>
      </w:r>
    </w:p>
    <w:p w:rsidR="006C3197" w:rsidRPr="00622F59" w:rsidRDefault="006C3197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</w:p>
    <w:p w:rsidR="00D47009" w:rsidRPr="00622F59" w:rsidRDefault="00D4700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7009" w:rsidRPr="00622F59" w:rsidRDefault="00D4700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7009" w:rsidRPr="00622F59" w:rsidRDefault="00D4700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7009" w:rsidRPr="00622F59" w:rsidRDefault="00D4700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7009" w:rsidRPr="00622F59" w:rsidRDefault="00D4700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6C3197" w:rsidRPr="00622F59" w:rsidRDefault="006C3197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50"/>
          <w:szCs w:val="50"/>
        </w:rPr>
      </w:pPr>
      <w:r w:rsidRPr="00622F59">
        <w:rPr>
          <w:rFonts w:ascii="Times New Roman" w:hAnsi="Times New Roman" w:cs="Times New Roman"/>
          <w:b/>
          <w:bCs/>
          <w:i/>
          <w:iCs/>
          <w:color w:val="0070C0"/>
          <w:sz w:val="50"/>
          <w:szCs w:val="50"/>
        </w:rPr>
        <w:t>П</w:t>
      </w:r>
      <w:r w:rsidR="00622F59" w:rsidRPr="00622F59">
        <w:rPr>
          <w:rFonts w:ascii="Times New Roman" w:hAnsi="Times New Roman" w:cs="Times New Roman"/>
          <w:b/>
          <w:bCs/>
          <w:i/>
          <w:iCs/>
          <w:color w:val="0070C0"/>
          <w:sz w:val="50"/>
          <w:szCs w:val="50"/>
        </w:rPr>
        <w:t>АМЯТКА</w:t>
      </w: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59" w:rsidRDefault="00622F5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197" w:rsidRDefault="006C3197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lastRenderedPageBreak/>
        <w:t>ОСНОВНЫЕ ПОНЯТИЯ</w:t>
      </w:r>
    </w:p>
    <w:p w:rsidR="00622F59" w:rsidRPr="006C3197" w:rsidRDefault="00622F59" w:rsidP="006C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Коррупция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(пункт 1 статьи 1 Федерального закона от 25.12.2008 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коррупции») – злоупотребление служебным положением,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дача взятки, получение взятки, злоупотребление полномочиями,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коммерческий подкуп либо иное незаконное использование физическим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лицом своего должностного положения вопреки законным интересам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общества и государства в целях получения выгоды в виде денег, 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иного имущества или услуг имущественного характера, иных имущественных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прав для себя или для третьих лиц либо незаконное предоставление такой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выгоды указанному лицу другими физическими лицами;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совершение указанных деяний от имени или в интересах юридического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лица.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Противодействие коррупции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(пункт 2 статьи 1 Федерального закона от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color w:val="000000"/>
          <w:sz w:val="28"/>
          <w:szCs w:val="28"/>
        </w:rPr>
        <w:t>25.12.2008 № 273-ФЗ «О противодействии коррупции») -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государственной власти, органов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власти субъектов Российской Федерации, органов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институтов гражданского общества, организаций и физических лиц в пределах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их полномочий:</w:t>
      </w:r>
    </w:p>
    <w:p w:rsidR="006C3197" w:rsidRPr="006C3197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а) по предупреждению коррупции, в том числе по выявлению и</w:t>
      </w:r>
      <w:r w:rsid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последующему устранению причин коррупции (профилактика коррупции);</w:t>
      </w:r>
    </w:p>
    <w:p w:rsidR="006C3197" w:rsidRPr="006C3197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б) по выявлению, предупреждению, пресечению, раскрытию и</w:t>
      </w:r>
      <w:r w:rsid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расследованию коррупционных правонарушений (борьба с коррупцией);</w:t>
      </w:r>
    </w:p>
    <w:p w:rsidR="006C3197" w:rsidRPr="006C3197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в) по минимизации и (или) ликвидации последствий коррупционных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правонарушений.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Манипулирование спортивными соревнованиями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(статья 3 Конвенции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color w:val="000000"/>
          <w:sz w:val="28"/>
          <w:szCs w:val="28"/>
        </w:rPr>
        <w:t>Совета Европы против манипулирования спортивными соревнованиями) –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преднамеренные договоренности, действие или бездействие, направленные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на изменение ненадлежащим образом результата или хода спортивного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соревнования для полного или частичного устранения присущей указанному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спортивному соревнованию непредсказуемости в целях обеспечения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неправомерного преимущества для себя или других лиц.</w:t>
      </w: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197" w:rsidRDefault="006C3197" w:rsidP="0031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lastRenderedPageBreak/>
        <w:t>НОРМАТИВНАЯ ПРАВОВАЯ БАЗА</w:t>
      </w:r>
    </w:p>
    <w:p w:rsidR="00317B0B" w:rsidRPr="006C3197" w:rsidRDefault="00317B0B" w:rsidP="0031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Конвенция Совета Европы против манипулирования спортивными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соревнованиями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(заключена в г. </w:t>
      </w:r>
      <w:proofErr w:type="spellStart"/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Маглингене</w:t>
      </w:r>
      <w:proofErr w:type="spellEnd"/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, подписана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Федерацией 18.09.2014).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В соответствии с Конвенцией Стороны должны обеспечить 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уголовного преследования за манипулирование спортивными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соревнованиями, если оно включает действия по принуждению,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или мошенничеству, как они определены в их законодательствах,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принятие законодательных и иных мер, направленных на установление в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законодательствах в качестве уголовных преступлений отмывание доходов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преступной деятельности, связанной с манипулированием спортивными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соревнованиями, и на привлечение юридических лиц к ответственности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правонарушения, предусмотренные в этой Конвенции (статьи 15–17).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Конвенция содержит положения о сотрудничестве Сторон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расследования, судебного преследования и осуществления правосудия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отношении правонарушений, предусмотренных в ней, включая арест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конфискацию. Такое сотрудничество должно осуществляться в полном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объеме в соответствии с применяемыми международными, региональными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двусторонними договорами о выдаче и взаимной помои по уголовным делам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каждой из Сторон в отношении правонарушений,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предусмотренных статьями 15–17 Конвенции (статья 26).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Конвенция также предусматривает сотрудничество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 международными спортивными организациями в борьбе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 манипулированием спортивными соревнованиями.</w:t>
      </w: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Конвенция Совета Европы по единому подходу к безопасности,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защите и обслуживанию во время спортивных мероприятий, и в частности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футбольных матчей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(заключена в г. Сан-Дени 03.07.2016, ратифицирована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26.07.2017 № 185-ФЗ и вступила в силу для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Федерации с 1 декабря 2017 г.).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В соответствии с Конвенцией Стороны принимают меры, направленные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на обеспечение безопасности, защиты и обслуживания на футбольных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других спортивных мероприятиях; предупреждение и предотвращение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неправомерных действий или неправомерного поведения.</w:t>
      </w: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Федеральный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закон от 04.12.2007 №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329-ФЗ «О физической культуре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спорте в Российской Федерации».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основных принципов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законодательства о физической культуре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color w:val="000000"/>
          <w:sz w:val="28"/>
          <w:szCs w:val="28"/>
        </w:rPr>
        <w:t>и спорте является запрет на противоправное влияние на результаты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официальных спортивных соревнований (статья 3).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Не допускается противоправное влияние на результат официального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спортивного соревнования, которым признаются следующие действия,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совершенные в целях достижения заранее определенного результата или</w:t>
      </w:r>
      <w:r w:rsidR="00317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исхода этого соревнования (статья 26.2):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1) подкуп спортсменов, спортивных судей, тренеров,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спортивных команд, других участников или организаторов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спортивного соревнования (в том числе их работников), принуждение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склонение указанных лиц к оказанию такого влияния или совершение 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действий по предварительному сговору с указанными лицами;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2) получение спортсменами, спортивными судьями, тренерами,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руководителями спортивных команд, другими участниками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организаторами официального спортивного соревнования (в том числе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работниками) денег, ценных бумаг, иного имущества, 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указанными лицами услугами имущественного характера, извлечение 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других выгод и преимуществ или их предварительный сговор.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установлены полномочия и обязанности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власти, спортивных федераций и организаторов спортивных соревнований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целях предотвращения противоправного влияния на результаты официальных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спортивных соревнований и борьбы с ним.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Организаторы официальных спортивных соревнований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предотвращения противоправного влияния на результаты официальных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 соревнований и борьбы с ним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обязаны включать в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(регламенты) об официальных спортивных соревнованиях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требования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запрете на участие в азартных играх в букмекерских конторах и тотализаторах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путем заключения пари на официальные спортивные соревнования (часть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color w:val="000000"/>
          <w:sz w:val="28"/>
          <w:szCs w:val="28"/>
        </w:rPr>
        <w:t>статьи 26.2).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Общероссийские спортивные федерации, региональные, местные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спортивные федерации и профессиональные спортивные лиги обязаны:</w:t>
      </w:r>
    </w:p>
    <w:p w:rsidR="006C3197" w:rsidRPr="006C3197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не допускать к участию в официальных спортивных соревнованиях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спортсменов, спортивных судей, тренеров, руководителей спортивных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команд и </w:t>
      </w:r>
      <w:r w:rsidR="00622F59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других участников,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соответствующих официальных спортивных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соревнований, являющихся подозреваемыми или обвиняемыми в совершении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преступления, предусмотренного статьей 184 Уголовного кодекса Российской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до вступления в силу приговора суда в отношении указанных лиц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либо до прекращения в отношении их уголовного дела и (или) уголовного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преследования;</w:t>
      </w:r>
    </w:p>
    <w:p w:rsidR="006C3197" w:rsidRPr="006C3197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применять в пределах своей компетенции после вступления в силу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обвинительного приговора суда санкции к вышеуказанным лицам (в том числе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спортивную дисквалификацию спортсменов), а также к физкультурно-спортивных организациям, принадлежность к которым имеют эти лица, за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противоправное влияние на результаты официальных спортивных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соревнований;</w:t>
      </w:r>
    </w:p>
    <w:p w:rsidR="006C3197" w:rsidRPr="006C3197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применять в пределах своей компетенции санкции к спортсменам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том числе спортивную дисквалификацию спортсменов), спортивным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судьям, тренерам, руководителям спортивных команд, спортивным агентам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другим участникам официальных спортивных соревнований за нарушение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запрета на участие в азартных играх в букмекерских конторах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тотализаторах.</w:t>
      </w:r>
    </w:p>
    <w:p w:rsidR="00317B0B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Распоряжение Правительства РФ от 12.10.2017 № 2221-р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«Об утверждении плана по реализации мер, необходимых для обеспечения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готовности Российской Федерации к выполнению обязательств государства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участника Конвенции Совета Европы против манипулирования спортивными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соревнованиями».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Планом предусмотрена подготовка ряда проектов нормативных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правовых актов, направленных на совершенствование федерального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 в сфере спорта.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2011 года в Интерполе действует рабочая группа по борьбе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договорными матчами, в которую входят 75 стран, включая Россию.</w:t>
      </w:r>
    </w:p>
    <w:p w:rsidR="00D47009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</w:pP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  <w:t>Негативные последствия манипулирования</w:t>
      </w:r>
      <w:r w:rsidR="00317B0B"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  <w:t xml:space="preserve"> спортивными соревнованиями:</w:t>
      </w:r>
    </w:p>
    <w:p w:rsidR="006C3197" w:rsidRPr="006C3197" w:rsidRDefault="00543DF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нарушение принципа защиты добросовестного поведения в спорте</w:t>
      </w:r>
      <w:r w:rsidR="00317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спортивной этики;</w:t>
      </w:r>
    </w:p>
    <w:p w:rsidR="006C3197" w:rsidRPr="006C3197" w:rsidRDefault="00543DF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подрыв доверия среди населения;</w:t>
      </w:r>
    </w:p>
    <w:p w:rsidR="006C3197" w:rsidRPr="006C3197" w:rsidRDefault="00543DF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легализация доходов, полученных преступным путем и др.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197" w:rsidRPr="006C3197" w:rsidRDefault="006C3197" w:rsidP="0031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ГОСУДАРСТВЕННЫЕ ГАРАНТИИ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Ознакомьтесь с этими документами и узнайте, что государство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гарантирует Вам и Вашим детям: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письмо Минобрнауки России от 16.05.2012 № МД-520/19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оснащении спортивных залов и сооружений общеобразовательных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учреждений» (вместе с «Примерным перечнем и характеристиками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современного спортивного оборудования и инвентаря для оснащения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спортивных залов и сооружений государственных и муниципальных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общеобразовательных учреждений»);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приказ Минспорта России от 16.08.2013 № 645 «Об утверждении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приема лиц в физкультурно-спортивные организации, созданные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Федерацией и осуществляющие спортивную подготовку»;</w:t>
      </w:r>
    </w:p>
    <w:p w:rsid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приказ Минспорта России от 16.08.2013 № 636 «Об утверждении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осуществления контроля за соблюдением организациями,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осуществляющими спортивную подготовку, федеральных стандартов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спортивной подготовки».</w:t>
      </w:r>
    </w:p>
    <w:p w:rsidR="00D47009" w:rsidRPr="00622F59" w:rsidRDefault="00D4700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F59">
        <w:rPr>
          <w:rFonts w:ascii="Times New Roman" w:hAnsi="Times New Roman" w:cs="Times New Roman"/>
          <w:b/>
          <w:bCs/>
          <w:sz w:val="28"/>
          <w:szCs w:val="28"/>
        </w:rPr>
        <w:tab/>
        <w:t>- Постановление Правительства Р</w:t>
      </w:r>
      <w:r w:rsidR="00622F59" w:rsidRPr="00622F59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Pr="00622F5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22F59" w:rsidRPr="00622F59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Pr="00622F59">
        <w:rPr>
          <w:rFonts w:ascii="Times New Roman" w:hAnsi="Times New Roman" w:cs="Times New Roman"/>
          <w:b/>
          <w:bCs/>
          <w:sz w:val="28"/>
          <w:szCs w:val="28"/>
        </w:rPr>
        <w:t xml:space="preserve"> от 08.04.2015 </w:t>
      </w:r>
      <w:r w:rsidR="00622F59" w:rsidRPr="00622F5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22F59">
        <w:rPr>
          <w:rFonts w:ascii="Times New Roman" w:hAnsi="Times New Roman" w:cs="Times New Roman"/>
          <w:b/>
          <w:bCs/>
          <w:sz w:val="28"/>
          <w:szCs w:val="28"/>
        </w:rPr>
        <w:t>№ 100 «Об утверждении Порядка приема лиц в физкультурно-спортивные организации, созданные Республикой Дагестан или муниципальными образованиями Республики Дагестан и осуществляющие спортивную подготовку».</w:t>
      </w:r>
    </w:p>
    <w:p w:rsidR="006C3197" w:rsidRPr="006C3197" w:rsidRDefault="00317B0B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Базовые виды спорта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виды спорта, включенные в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Олимпийских игр, Паралимпийских игр, а также иные виды спорта,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развиваемые субъектами Российской Федерации на своих территориях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учетом сложившихся исторических традиций развития спорта высших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достижений, представительства спортсменов от субъектов Российской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 в составах спортивных сборных команд Российской Федерации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видам спорта и участия данных команд во всероссийских и в международных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официальных спортивных мероприятиях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(пункт 1.2 статьи 2 Федерального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закона от 04.12.2007 № 329-ФЗ «О физической культуре и спорте в Российской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Федерации»).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Приказом Минспорта России от 14.02.2014 № 83 утвержден 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базовых видов спорта на 2014–2018 годы во всех субъектах Российской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Федерации. С данным перечнем можно ознакомиться на сайтах Минспорта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России и профильных региональных органов исполнительной власти.</w:t>
      </w:r>
    </w:p>
    <w:p w:rsidR="009F3192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Официальные физкультурные мероприятия и спортивные мероприятия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>:</w:t>
      </w:r>
    </w:p>
    <w:p w:rsidR="006C3197" w:rsidRPr="006C3197" w:rsidRDefault="006C3197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физкультурные мероприятия и спортивные мероприятия, включенные в</w:t>
      </w:r>
      <w:r w:rsidR="00622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календарный план межрегиональных, всероссийских и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22F59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международных физкультурных мероприятий</w:t>
      </w:r>
      <w:proofErr w:type="gram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спортивных мероприятий,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календарные планы физкультурных мероприятий и спортивных мероприятий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муниципальных образований.</w:t>
      </w:r>
    </w:p>
    <w:p w:rsidR="009F3192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72A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Ознакомьтесь с правовой основой физической культуры и спорта в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22F59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Республике Дагестан, </w:t>
      </w:r>
      <w:proofErr w:type="gramStart"/>
      <w:r w:rsidR="00FC22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="00FC22AB" w:rsidRPr="001D72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апример</w:t>
      </w:r>
      <w:proofErr w:type="gramEnd"/>
      <w:r w:rsidR="001D72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1D72A7" w:rsidRPr="00FC22AB" w:rsidRDefault="001D72A7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6C3197"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C22AB"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акон Республики Дагестан от 02.02.2010 </w:t>
      </w:r>
      <w:r w:rsidR="00001600"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№</w:t>
      </w: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5 </w:t>
      </w:r>
      <w:r w:rsidR="00001600"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О физической культуре и спорте в Республике Дагестан</w:t>
      </w:r>
      <w:r w:rsidR="00001600"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F3192" w:rsidRPr="00FC22AB" w:rsidRDefault="001D72A7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622F59"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 п</w:t>
      </w:r>
      <w:r w:rsidR="00BC643D" w:rsidRPr="00FC22AB">
        <w:rPr>
          <w:rFonts w:ascii="Times New Roman" w:hAnsi="Times New Roman" w:cs="Times New Roman"/>
          <w:b/>
          <w:bCs/>
          <w:sz w:val="28"/>
          <w:szCs w:val="28"/>
        </w:rPr>
        <w:t>остановление Правительства Р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BC643D" w:rsidRPr="00FC22A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BC643D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 от 22.12.2014 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745D6" w:rsidRPr="00FC22A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D4CF3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 658</w:t>
      </w:r>
      <w:r w:rsidR="00BC643D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5D6" w:rsidRPr="00FC22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643D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государственной программы Республики Дагестан </w:t>
      </w:r>
      <w:r w:rsidR="001745D6" w:rsidRPr="00FC22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643D" w:rsidRPr="00FC22AB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 в Республике Дагестан на 2015-2020 годы</w:t>
      </w:r>
      <w:r w:rsidR="001745D6" w:rsidRPr="00FC22A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C643D" w:rsidRPr="00FC22A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C643D" w:rsidRPr="00FC22AB" w:rsidRDefault="00BC643D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> п</w:t>
      </w:r>
      <w:r w:rsidR="00C500A6" w:rsidRPr="00FC22AB">
        <w:rPr>
          <w:rFonts w:ascii="Times New Roman" w:hAnsi="Times New Roman" w:cs="Times New Roman"/>
          <w:b/>
          <w:bCs/>
          <w:sz w:val="28"/>
          <w:szCs w:val="28"/>
        </w:rPr>
        <w:t>остановление Правительства Р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C500A6" w:rsidRPr="00FC22A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C500A6"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 от 12.01.2017 № 4 «Вопросы Министерства по физической культуре и спорту Республики Дагестан» (вместе с «Положением о Министерстве по физической культуре и спорту Республики Дагестан», «Структурой аппарата Министерства по физической культуре и спорту Республики Дагестан»);</w:t>
      </w:r>
    </w:p>
    <w:p w:rsidR="00C500A6" w:rsidRPr="00FC22AB" w:rsidRDefault="00C500A6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17854"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8.09.2011 г. № 699 «Об утверждении базового (отраслевого) перечня государственных услуг (работ), оказываемых (выполняемых) в сфере физической культуре и спорта»;</w:t>
      </w:r>
    </w:p>
    <w:p w:rsidR="00917854" w:rsidRPr="00FC22AB" w:rsidRDefault="00917854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10.07.2012 г. № 599 «Об утверждении Административного регламента предоставления Министерством по физической культуре и спорту Республики Дагестан государственной услуги «Аттестация педагогических работников в сфере физической культуры и спорта»;</w:t>
      </w:r>
    </w:p>
    <w:p w:rsidR="00917854" w:rsidRPr="00FC22AB" w:rsidRDefault="00917854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22AB" w:rsidRPr="00FC22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риказ Министерства по физической культуре и спорту Республики Дагестан от 9.10.2012 г. № 920 «Об утверждении Административного регламента предоставления Министерством по физической культуре и спорту Республики Дагестан государственной услуги «Аккредитация 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республиканских общественных объединений (федераций, союзов, ассоциаций) по различным видам спорта»;</w:t>
      </w:r>
    </w:p>
    <w:p w:rsidR="00917854" w:rsidRPr="00FC22AB" w:rsidRDefault="00917854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22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C3EB8"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8.02.2011 г. № 51 «Об утверждении Административного регламента предоставления государственной услуги «Присвоение судейских категорий»;</w:t>
      </w:r>
    </w:p>
    <w:p w:rsidR="001C3EB8" w:rsidRPr="00FC22AB" w:rsidRDefault="001C3EB8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22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472EC"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8.02.2011 г. № 55 «Об утверждении Административного регламента предоставления государственной услуги «Организация республиканских физкультурно-оздоровительных и спортивно-массовых мероприятий и обеспечение участия дагестанских спортсменов во всероссийских и международных спортивных мероприятиях»;</w:t>
      </w:r>
    </w:p>
    <w:p w:rsidR="000472EC" w:rsidRPr="00FC22AB" w:rsidRDefault="000472EC" w:rsidP="0062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22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8.02.2011 г. № 57 «Об утверждении Административного регламента предоставления государственной услуги «Присвоение спортивного разряда кандидата в мастера спорта»;</w:t>
      </w:r>
    </w:p>
    <w:p w:rsidR="000472EC" w:rsidRDefault="000472EC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К полномочиям субъектов Российской Федерации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физической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спорта относятся в том числе: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C2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проведение региональных официальных физкультурных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и спортивных мероприятий и межмуниципальных официальных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физкультурных мероприятий и спортивных мероприятий;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развитие детско-юношеского спорта;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содействие развитию массового спорта, спорта высших достижений;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BE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содействие развитию профессионального спорта путем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государственной поддержки физкультурно-спортивным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организациям, основным видом деятельности которых является развитие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профессионального спорта;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43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реализация мер по развитию физической культуры и спорта инвалидов,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 с ограниченными возможностями здоровья, адаптивной физической культуры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адаптивного спорта в субъектах Российской Федерации.</w:t>
      </w:r>
    </w:p>
    <w:p w:rsidR="009F3192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На сайтах региональных органов исполнительной власти в сети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«Интернет» предоставляются государственные услуги по записи ребенка на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занятия физической культурой и спортом.</w:t>
      </w:r>
    </w:p>
    <w:p w:rsidR="009F3192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192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4B15" w:rsidRDefault="00014B15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014B15" w:rsidRDefault="00014B15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43DFB" w:rsidRDefault="00543DFB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43DFB" w:rsidRDefault="00543DFB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6C3197" w:rsidRPr="006C3197" w:rsidRDefault="006C3197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lastRenderedPageBreak/>
        <w:t>ОСНОВНЫЕ ОБЯЗАННОСТИ СПОРТИВНЫХ ОРГАНИЗАЦИЙ</w:t>
      </w:r>
      <w:r w:rsidR="009F3192">
        <w:rPr>
          <w:rFonts w:ascii="Times New Roman" w:hAnsi="Times New Roman" w:cs="Times New Roman"/>
          <w:b/>
          <w:bCs/>
          <w:color w:val="2E74B6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t>В СФЕРЕ ПРОТИВОДЕЙСТВИЯ КОРРУПЦИИ</w:t>
      </w:r>
    </w:p>
    <w:p w:rsidR="009F3192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Меры по предупреждению коррупции могут включать:</w:t>
      </w:r>
    </w:p>
    <w:p w:rsidR="006C3197" w:rsidRPr="006C3197" w:rsidRDefault="00EF20E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определение подразделений или должностных лиц, ответственных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профилактику коррупционных и иных правонарушений;</w:t>
      </w:r>
    </w:p>
    <w:p w:rsidR="006C3197" w:rsidRPr="006C3197" w:rsidRDefault="00EF20E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сотрудничество организации с правоохранительными органами;</w:t>
      </w:r>
    </w:p>
    <w:p w:rsidR="006C3197" w:rsidRPr="006C3197" w:rsidRDefault="00EF20E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разработку и внедрение в практику стандартов и процедур,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направленных на обеспечение добросовестной работы организации;</w:t>
      </w:r>
    </w:p>
    <w:p w:rsidR="006C3197" w:rsidRPr="006C3197" w:rsidRDefault="00EF20E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принятие кодекса этики и служебного поведения работников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организации;</w:t>
      </w:r>
    </w:p>
    <w:p w:rsidR="006C3197" w:rsidRPr="006C3197" w:rsidRDefault="00EF20E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предотвращение и урегулирование конфликта интересов;</w:t>
      </w:r>
    </w:p>
    <w:p w:rsidR="006C3197" w:rsidRPr="006C3197" w:rsidRDefault="00EF20E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недопущение составления неофициальной отчетности и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использования поддельных документов.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Данная обязанность распространяется на все организации вне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зависимости от их форм собственности, организационно-правовых форм,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отраслевой принадлежности и иных обстоятельств.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вводимых мер определяется организацией самостоятельно,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исходя из специфики ее деятельности и реализуемых функций, оценки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соответствующих коррупционных рисков. Главное требование – они 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противоречить законодательству и налагать на работников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и иных лиц обязанности, не предусмотренные нормативными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правовыми актами.</w:t>
      </w: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Министерством труда и социальной защиты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08.11.2013 изданы Методические рекомендации по разработке и принятию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организациями мер по предупреждению и противодействию коррупции,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 размещены на официальном сайте государственного органа в сети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«Интернет» (www.rosmintrud.ru).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со статьей 13.3 Федерального закона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25.12.2008 № 273-ФЗ «О противодействии коррупции»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обязаны разрабатывать и принимать меры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предупреждению коррупции.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192" w:rsidRDefault="006C3197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АДМИНИСТРАТИВНАЯ ОТВЕТСТВЕННОСТЬ ЗА</w:t>
      </w:r>
    </w:p>
    <w:p w:rsidR="006C3197" w:rsidRDefault="006C3197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СОВЕРШЕНИЕ</w:t>
      </w:r>
      <w:r w:rsidR="009F3192">
        <w:rPr>
          <w:rFonts w:ascii="Times New Roman" w:hAnsi="Times New Roman" w:cs="Times New Roman"/>
          <w:b/>
          <w:bCs/>
          <w:color w:val="5B9CD6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КОРРУПЦИОННЫХ ПРАВОНАРУШЕНИЙ</w:t>
      </w:r>
    </w:p>
    <w:p w:rsidR="001D72A7" w:rsidRPr="006C3197" w:rsidRDefault="001D72A7" w:rsidP="009F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</w:p>
    <w:p w:rsidR="006C3197" w:rsidRPr="006C3197" w:rsidRDefault="009F3192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нормы, устанавливающие ответственность юридических лиц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коррупционные правонарушения, закреплены в статье 14 Федерального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закона «О противодействии коррупции». В соответствии с данной статьей,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от имени или в интересах юридического лица осуществляются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организация, подготовка и совершение коррупционных правонарушений 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правонарушений, создающие условия для совершения коррупционных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правонарушений, к юридическому лицу могут быть применены меры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ответственности в соответствии с законодательством Российской Федерации.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этом применение мер ответственности за коррупционное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правонарушение к юридическому лицу не освобождает от ответственности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данное коррупционное правонарушение виновное физическое лицо.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Привлечение к уголовной или иной ответственности за коррупционное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правонарушение физического лица не освобождает от ответственности за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данное коррупционное правонарушение юридическое лицо. В случаях,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предусмотренных законодательством Российской Федерации, данные нормы</w:t>
      </w:r>
      <w:r w:rsidR="009F3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распространяются на иностранные юридические лица.</w:t>
      </w:r>
    </w:p>
    <w:p w:rsidR="00D65CA0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Незаконное вознаграждение от имени юридического лица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(статья 19.28 КоАП РФ).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обещание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имени или в интересах юридического лица должностному лицу, лицу,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выполняющему управленческие функции в коммерческой или иной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организации, иностранному должностному лицу либо должностному лицу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публичной международной организации: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денег, ценных бумаг, иного имущества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оказание ему услуг имущественного характера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предоставление имущественных прав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 1 ст. 19.28 КоАП РФ</w:t>
      </w: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Возбуждение дел об административных правонарушениях,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предусмотренных статьей 19.28 КоАП РФ, является исключительной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компетенцией прокурора.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Рассматривают указанные дела судьи судов общей юрисдикции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(федеральные судьи).</w:t>
      </w: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Так, например, в одном из субъектов Российской Федерации к административной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ответственности по статье 19.28 КоАП РФ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привлечен хоккейный клуб, директор которого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через посредника незаконно передал министру физической культуры, спорта и туризма 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субъекту Российской Федерации денежное вознаграждение в размере не менее 8 млн. рублей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 совершение действий, входящих в его служебные полномочия по включению учреждения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перечень команд, имеющих поддержку за счет средств регионального бюджета, а также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подписанию договоров о выделении субсидии для данного клуба.</w:t>
      </w:r>
    </w:p>
    <w:p w:rsidR="00D65CA0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 знать!</w:t>
      </w:r>
    </w:p>
    <w:p w:rsidR="006C3197" w:rsidRPr="006C3197" w:rsidRDefault="005C33F9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 пунктом 7.1 части 1 статьи 31 Федерального закона от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05.04.2013 № 44-ФЗ «О контрактной с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истеме в сфере закупок товаров, р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абот,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 для обеспечения государственных и муниципальных нужд» не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допускается участие в закупках юридического лица, которое в течение двух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 до момента подачи заявки на участие в закупке было привлечено к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административной ответственности по статье 19.28 КоАП РФ.</w:t>
      </w: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Генеральной прокуратурой Российской Федерации сформирован реестр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юридических лиц, привлеченных к административной ответственности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данной статье, и обеспечено его размещение на сайте Генеральной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прокуратуры Российской Федерации в сети «Интернет».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Заинтересованным лицам следует руководствоваться данным реестром.</w:t>
      </w:r>
    </w:p>
    <w:p w:rsidR="00D65CA0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крупном размере (сумма денег,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ценных бумаг, иного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имущества, услуг имущественного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характера, имущественных прав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превышает 1 миллион рублей)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ч.2 ст. 19.28 КоАП РФ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особо крупном размере (сумма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денег, стоимость ценных бумаг, иного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имущества, услуг имущественного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характера, имущественных прав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превышает 20 миллионов рублей)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ч.3 ст. 19.28 КоАП РФ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совершение в интересах данного юридического лица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должностным лицом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лицом, выполняющим управленческие функции в коммерческой или иной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иностранным должностным лицом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должностным лицом публичной международной организации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 или бездействия, связанного с занимаемым ими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служебным положением</w:t>
      </w:r>
      <w:r w:rsidR="00D65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5CA0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197" w:rsidRPr="006C3197" w:rsidRDefault="006C3197" w:rsidP="00D6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УГОЛОВНАЯ ОТВЕТСТВЕННОСТЬ ЗА СОВЕРШЕНИЕ</w:t>
      </w:r>
    </w:p>
    <w:p w:rsidR="006C3197" w:rsidRPr="006C3197" w:rsidRDefault="006C3197" w:rsidP="00D6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КОРРУПЦИОННЫХ ПРАВОНАРУШЕНИЙ</w:t>
      </w:r>
    </w:p>
    <w:p w:rsidR="00D65CA0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Оказание противоправного влияния на результат официального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спортивного соревнования или зрелищного коммерческого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конкурса (статья 184 УК РФ)</w:t>
      </w:r>
    </w:p>
    <w:p w:rsidR="00D65CA0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5"/>
          <w:sz w:val="28"/>
          <w:szCs w:val="28"/>
        </w:rPr>
      </w:pP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первая.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Передача спортсмену, спортивному судье, тренеру,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руководителю спортивной команды, другому участнику или организатору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официального спортивного соревнования (в том числе их работнику), а равно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члену жюри, участнику или организатору зрелищного коммерческого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денег, ценных бумаг, иного имущества, а также оказание ему 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характера, предоставление иных имущественных прав (в 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 когда по указанию такого лица имущество передается, или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 оказываются, или имущественные права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предоставляются иному физическому или юридическому лицу) в целях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оказания противоправного влияния на результат официального спортивного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 или зрелищного коммерческого конкурса, либо принуждение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склонение таких лиц к оказанию этого влияния, либо предварительный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сговор с такими лицами в тех же целях.</w:t>
      </w: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вторая.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 же деяния, совершенные организованной группой.</w:t>
      </w:r>
    </w:p>
    <w:p w:rsidR="006C3197" w:rsidRPr="006C3197" w:rsidRDefault="00D65CA0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третья.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Получение спортсменом, тренером, руководителем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спортивной команды или другим участником официального спортивного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соревнования, а равно участником зрелищного коммерческого конкурса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денег, ценных бумаг, иного имущества, а также пользование им услугами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 или иными имущественными правами (в том числе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когда по указанию такого лица имущество передается, или услуги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 оказываются, или имущественные права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предоставляются иному физическому или юридическому лицу)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либо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предварительный сговор таких лиц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целях противоправного влияния на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 официального спортивного соревнования или зрелищного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коммерческого конкурса.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четвертая.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Деяния, предусмотренные частью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настоящей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статьи и совершенные спортивным судьей или организатором официального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спортивного соревнования, а равно членом жюри или организатором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зрелищного коммерческого конкурса.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пятая.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Посредничество в совершении деяний, предусмотренных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частями первой - четвертой настоящей статьи, в значительном размере.</w:t>
      </w:r>
    </w:p>
    <w:p w:rsidR="004865EE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Примечание.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Лицо, совершившее преступление, предусмотренное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частью первой, второй или пятой настоящей статьи, освобождается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уголовной ответственности, если оно активно способствовало раскрытию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(или) расследованию преступления и либо в отношении его имело место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вымогательство, либо это лицо добровольно сообщило о совершенном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преступлении в орган, имеющий право возбудить уголовное дело.</w:t>
      </w:r>
    </w:p>
    <w:p w:rsidR="004865EE" w:rsidRDefault="004865EE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6C3197" w:rsidRPr="006C3197" w:rsidRDefault="006C3197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Другие коррупционные преступления</w:t>
      </w:r>
    </w:p>
    <w:p w:rsidR="006C3197" w:rsidRPr="006C3197" w:rsidRDefault="006C3197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(в соответствии с Уголовным кодексом</w:t>
      </w:r>
    </w:p>
    <w:p w:rsidR="006C3197" w:rsidRPr="006C3197" w:rsidRDefault="006C3197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Российской Федерации)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Взяточничество (ст. 290, 291, 291.1, 291.2 УК РФ)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дача или получение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должностным лицом материальных ценностей, например, денег, ценных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бумаг, иного имущества, либо незаконного оказания ему 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характера, предоставления иных имущественных прав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совершение действий (бездействия) в пользу того, кто дает взятку либо иных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лиц. Обязательное условие – действие (бездействие) входит в служебные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полномочия этого должностного лица.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Например, приговором суда осуждены по подпунктам «а, в» части 5 статьи 290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УК РФ (получение взятки группой лиц в крупном размере) к уголовной ответственности 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виде штрафа в размере 1 млн. рублей директор государственного бюджетного учреждения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олимпийской подготовке спортсменов и его заместитель, которые получили взятку от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хоккейного клуба за предоставление ледовой площадки для проведения тренировочных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мероприятий без составления соответствующего договора на предоставление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спортивных сооружений во временное пользование.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Коммерческий подкуп (ст. 204, 204.1, 204.2 УК РФ)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незаконная передача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лицу, выполняющему управленческие функции в коммерческой или иной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организации, денег, ценных бумаг, иного имущества, а также незаконные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ему услуг имущественного характера, предоставление иных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имущественных прав (в том числе когда по указанию такого лица имущество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передается, или услуги имущественного характера оказываются, 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имущественные права предоставляются иному физическому 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юридическому лицу) за совершение действий (бездействие) в интересах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дающего или иных лиц, если указанные действия (бездействие) входят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служебные полномочия такого лица либо если оно в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силу своего служебного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 может способствовать указанным действиям (бездействию).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Хищение (ст. 159, 160 УК РФ)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совершенные с корыстной целью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противоправные безвозмездное изъятие и (или) обращение чужого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в пользу виновного или других лиц, причинившие ущерб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собственнику или иному владельцу этого имущества.</w:t>
      </w:r>
    </w:p>
    <w:p w:rsidR="004865EE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>Иные преступления:</w:t>
      </w: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злоупотребление полномочиями (ст. 201 УК РФ),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злоупотребление должностными полномочиями (ст. 285 УК РФ),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превышение должностных полномочий (ст. 286 УК РФ) и др.</w:t>
      </w:r>
    </w:p>
    <w:p w:rsidR="004865EE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Куда следует обратиться?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102 - общероссийский телефон полиции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8 800 100-12-60 – телефонная линия «Остановим коррупцию» Следственного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комитета Российской Федерации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8 495 224-22-22 – телефон доверия Федеральной службы безопасности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  <w:r w:rsidR="00486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органах прокуратуры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рассматриваются обращения, содержащие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нарушениях законодательства, охраняемых законом прав, свобод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интересов человека и гражданина, интересов общества и государства.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специальном разделе «Противодействие коррупции» на официальном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интернет-сайте Генеральной прокуратуры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(https://genproc.gov.ru/anticor/)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размещены наиболее актуальные материалы,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 могут быть интересны широкому кругу лиц: законодательство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противодействии коррупции, методические пособия, сведения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международном сотрудничестве в данной области, информация 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организуемых мероприятиях антикоррупционной направленности и многое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другое.</w:t>
      </w:r>
    </w:p>
    <w:p w:rsidR="006C3197" w:rsidRPr="006C3197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Кроме того, этот раздел предназначен для оперативного получения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сообщений о коррупционных проявлениях. Все заинтересованные лица имеют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возможность сообщить о ставших им известными фактах коррупционных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проявлений, написав электронное обращение в подразделе «Сообщить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коррупции».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Сообщайте в правоохранительные органы сведения о фактах, имеющих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противоправного влияния на результат официального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спортивного соревнования или зрелищного коммерческого конкурса,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неправомерного расходования бюджетных средств, выделенных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спорта (например, на реализацию федеральных и региональных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целевых программ, строительство спортивных площадок, развитие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спортивных школ и др.).</w:t>
      </w:r>
    </w:p>
    <w:p w:rsidR="004865EE" w:rsidRDefault="004865E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3E8B" w:rsidRDefault="00773E8B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773E8B" w:rsidRDefault="00773E8B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773E8B" w:rsidRDefault="00773E8B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773E8B" w:rsidRDefault="00773E8B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6C3197" w:rsidRPr="006C3197" w:rsidRDefault="006C3197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>АНТИКОРРУПЦИОННАЯ ЭКСПЕРТИЗА</w:t>
      </w:r>
    </w:p>
    <w:p w:rsidR="006C3197" w:rsidRPr="006C3197" w:rsidRDefault="006C3197" w:rsidP="0048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НОРМАТИВНЫХ ПРАВОВЫХ АКТОВ И ИХ ПРОЕКТОВ, РЕГУЛИРУЮЩИХ</w:t>
      </w:r>
      <w:r w:rsidR="00FC22AB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ПРАВООТНОШЕНИЯ В СФЕРЕ СПОРТА</w:t>
      </w:r>
    </w:p>
    <w:p w:rsidR="00877D64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C3197" w:rsidRPr="006C3197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ее проведения урегулирован Федеральным законом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17.07.2009 № 172-ФЗ «Об антикоррупционной экспертизе нормативных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правовых актов и проектов нормативных правовых актов».</w:t>
      </w:r>
    </w:p>
    <w:p w:rsidR="006C3197" w:rsidRPr="006C3197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Постановлением Правительства Российской Федерации от 26.02.2010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96 «Об антикоррупционной экспертизе нормативных правовых актов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проектов нормативных правовых актов» утверждены Правила проведения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антикоррупционной экспертизы нормативных правовых актов и проектов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нормативных правовых актов и методика проведения антикоррупционной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экспертизы нормативных правовых актов и проектов нормативных правовых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актов.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 антикоррупционной экспертизы является выявление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посредством принятия правовых средств устранение предпосылок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коррупции (коррупциогенных факторов), что по своей сути отождествляется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устранением дефектов правовой нормы, правовой формулы.</w:t>
      </w:r>
    </w:p>
    <w:p w:rsidR="006C3197" w:rsidRPr="006C3197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Например, по протесту прокуратуры Республики Мордовия приведен 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соответствие с требованиями федерального законодательства Порядок предоставления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субсидий из бюджета городского округа Саранск на возмещение затрат, связанных 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перевозкой пассажиров в дни проведения матчей Чемпионата мира по футболу FIFA 2018 г.,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организациям, осуществляющим перевозку внутригородских автомобильным 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электрическим транспортом, который устанавливал обременительные требования 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организациям в виде запрета получателям субсидии на приобретение средств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иностранной валюты за счет выделенных бюджетных средств, а также предоставлял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уполномоченным должностным лицам органа местного самоуправления необоснованно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широкие пределы усмотрения при принятии решения о выделении субсидии либо об отказе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ее предоставлении, что свидетельствовало о наличии коррупциогенных факторов,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заключающихся в широте дискреционных полномочий и наличии завышенных требований 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лицу для реализации принадлежащего ему права.</w:t>
      </w:r>
    </w:p>
    <w:p w:rsidR="006C3197" w:rsidRPr="006C3197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Коррупциогенны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факторы – положения нормативных правовых актов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(их проектов), устанавливающие для правоприменителя необоснованно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широкие пределы усмотрения или возможность необоснованного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применения исключений из общих правил, а также положения,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содержащие неопределенные, трудновыполнимые и (или)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обременительные требования к гражданам и организациям и тем самым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создающие условия для проявления коррупции (часть 2 статьи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№ 172-ФЗ).</w:t>
      </w:r>
    </w:p>
    <w:p w:rsidR="00877D64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D64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>Если у вас просят взятку. Ваши действия?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Не предлагайте и не давайте взятку!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Иначе вы сами совершите преступление (статья 291 Уголовного кодекса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Федерации). Выслушайте требования вымогателя, чтобы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обратиться в полицию.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Когда вы останетесь один, немедленно звоните в полицию!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Прежде чем написать заявление...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Помните, что за сообщение о вымышленном факте вымогательства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взятки предусмотрена уголовная ответственность. Ложный донос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наказывается штрафом или принудительными работами, или даже лишением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свободы до трех лет. Если докажут, что доказательства искусственно созданы,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 срок лишения свободы увеличится до шести лет (ст. 306 Уголовного кодекса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Федерации).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Как привлечь вымогателя к ответственности?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 должны будете проехать в ближайшее отделение полиции и написать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 о преступлении вы можете сделать в устном, электронном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письменном виде. Приложите к нему доказательства, если они у вас есть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(записка с суммой, сделанная вымогателем, диктофонная запись). Письменное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 о преступлении обязательно подпишите. Укажите почтовый или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электронный адрес, куда должен будет прийти ответ.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Устное заявление о преступлении заносится в протокол, который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подписывается вами и сотрудником, принявшим заявление. Протокол должен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содержать данные о вас, а также о документах, удостоверяющих вашу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личность.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 предупредят об уголовной ответственности за заведомо ложный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донос в соответствии со ст. 306 Уголовного кодекса РФ, о чем в протоколе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будет сделана отметка. Подпишите.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регистрации заявления вы должны получить талон-уведомление, в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котором указывается порядковый номер заявления по книге учета сообщений</w:t>
      </w:r>
      <w:r w:rsidR="0087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дата его принятия.</w:t>
      </w:r>
    </w:p>
    <w:p w:rsidR="00877D64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197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Подробнее о заявлении о преступлении можно прочитать в статье 141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3197"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Уголовно-процессуального кодекса Российской Федерации</w:t>
      </w:r>
    </w:p>
    <w:p w:rsidR="00877D64" w:rsidRPr="006C3197" w:rsidRDefault="00877D64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Что ждет вымогателя?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Преступление</w:t>
      </w:r>
      <w:r w:rsidR="00E2696E" w:rsidRP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аказание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м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елкое взяточничество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(менее 10 тыс. руб.)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 года в колонии-поселении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(от 10 тыс. до 25 тыс. руб.) до 3 лет в колонии-поселении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в значительном размере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 25 тыс. до 150 тыс. руб.)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6 лет в колонии общего режима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в крупном размере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 150 тыс. до 1 млн руб.)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12 лет в колонии строгого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режима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C3197" w:rsidRPr="006C3197" w:rsidRDefault="006C3197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в особо крупном размере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 1 млн руб.)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15 лет в колонии особого режима</w:t>
      </w:r>
      <w:r w:rsid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22"/>
        <w:gridCol w:w="4739"/>
      </w:tblGrid>
      <w:tr w:rsidR="00CE3CE6" w:rsidTr="00375964">
        <w:tc>
          <w:tcPr>
            <w:tcW w:w="4673" w:type="dxa"/>
          </w:tcPr>
          <w:p w:rsidR="00A755C2" w:rsidRDefault="00E2696E" w:rsidP="00A75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  <w:lastRenderedPageBreak/>
              <w:t>П</w:t>
            </w:r>
            <w:r w:rsidRPr="006C3197"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  <w:t>рокуратура</w:t>
            </w:r>
          </w:p>
          <w:p w:rsidR="00E2696E" w:rsidRPr="006C3197" w:rsidRDefault="00E2696E" w:rsidP="00A75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</w:pPr>
            <w:r w:rsidRPr="006C3197"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  <w:t>еспублики Дагестан</w:t>
            </w:r>
          </w:p>
          <w:p w:rsidR="00E2696E" w:rsidRDefault="00E2696E" w:rsidP="00E2696E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55C2" w:rsidRDefault="00A755C2" w:rsidP="00E2696E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55C2" w:rsidRDefault="00AA55E6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2696E" w:rsidRPr="00FC2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очтовый адрес: </w:t>
            </w:r>
            <w:r w:rsidR="00E2696E" w:rsidRPr="00FC22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367003, Россия,</w:t>
            </w:r>
          </w:p>
          <w:p w:rsidR="00A755C2" w:rsidRDefault="00E2696E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C22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г. Махачкала,</w:t>
            </w:r>
          </w:p>
          <w:p w:rsidR="00E2696E" w:rsidRPr="00FC22AB" w:rsidRDefault="00E2696E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22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ул. М.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C22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Ярагского,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755C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84</w:t>
            </w:r>
          </w:p>
          <w:p w:rsidR="00E2696E" w:rsidRPr="00E2696E" w:rsidRDefault="00E2696E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696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Дежурный прокурор:</w:t>
            </w:r>
          </w:p>
          <w:p w:rsidR="00E2696E" w:rsidRDefault="00E2696E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696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тел: 8</w:t>
            </w:r>
            <w:r w:rsidR="0010095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2696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(8722) 67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Pr="00E2696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Pr="00E2696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  <w:p w:rsidR="00E2696E" w:rsidRDefault="00E2696E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696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тел: 8-928-514-05-00</w:t>
            </w:r>
          </w:p>
          <w:p w:rsidR="00A755C2" w:rsidRDefault="00E2696E" w:rsidP="00E2696E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696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телефон доверия:</w:t>
            </w:r>
          </w:p>
          <w:p w:rsidR="00E2696E" w:rsidRPr="00E2696E" w:rsidRDefault="0010095E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тел. </w:t>
            </w:r>
            <w:r w:rsidR="00E2696E"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8</w:t>
            </w:r>
            <w:r w:rsid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2696E"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(8722) 62-84-24</w:t>
            </w:r>
          </w:p>
          <w:p w:rsidR="0010095E" w:rsidRDefault="00E2696E" w:rsidP="00E2696E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696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телефон для справок по вопросам рассмотрения жалоб и обращений:</w:t>
            </w:r>
          </w:p>
          <w:p w:rsidR="00E2696E" w:rsidRPr="00E2696E" w:rsidRDefault="00E2696E" w:rsidP="00E269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8</w:t>
            </w:r>
            <w:r w:rsidR="0010095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(8722) 62-84-01</w:t>
            </w:r>
          </w:p>
          <w:p w:rsidR="00E2696E" w:rsidRPr="006C3197" w:rsidRDefault="00E2696E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31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Интернет-сайт:</w:t>
            </w:r>
          </w:p>
          <w:p w:rsidR="00E2696E" w:rsidRDefault="00275378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hyperlink r:id="rId8" w:history="1">
              <w:r w:rsidR="00E2696E" w:rsidRPr="008C6AE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</w:t>
              </w:r>
              <w:r w:rsidR="00E2696E" w:rsidRPr="008C6AE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dagproc</w:t>
              </w:r>
              <w:r w:rsidR="00E2696E" w:rsidRPr="008C6AE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.ru</w:t>
              </w:r>
            </w:hyperlink>
          </w:p>
          <w:p w:rsidR="00E2696E" w:rsidRPr="00E2696E" w:rsidRDefault="00E2696E" w:rsidP="00E2696E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696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Адрес электронной почты:</w:t>
            </w:r>
          </w:p>
          <w:p w:rsidR="00E2696E" w:rsidRDefault="00275378" w:rsidP="00E2696E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hyperlink r:id="rId9" w:history="1">
              <w:r w:rsidR="00E2696E" w:rsidRPr="008C6AE5">
                <w:rPr>
                  <w:rStyle w:val="a5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prok-dagestan@mail.ru</w:t>
              </w:r>
            </w:hyperlink>
          </w:p>
          <w:p w:rsidR="00A755C2" w:rsidRDefault="00E2696E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31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  <w:p w:rsidR="00E2696E" w:rsidRPr="006C3197" w:rsidRDefault="00E2696E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31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«Противодействие коррупции»:</w:t>
            </w:r>
          </w:p>
          <w:p w:rsidR="00E2696E" w:rsidRDefault="00E2696E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</w:pPr>
            <w:proofErr w:type="spellStart"/>
            <w:r w:rsidRPr="006C3197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www</w:t>
            </w:r>
            <w:proofErr w:type="spellEnd"/>
            <w:r w:rsidRPr="006C3197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en-US"/>
              </w:rPr>
              <w:t>vazhno</w:t>
            </w:r>
            <w:proofErr w:type="spellEnd"/>
            <w:r w:rsidRPr="00A755C2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en-US"/>
              </w:rPr>
              <w:t>protivodeistvie</w:t>
            </w:r>
            <w:proofErr w:type="spellEnd"/>
            <w:r w:rsidRPr="00A755C2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  <w:lang w:val="en-US"/>
              </w:rPr>
              <w:t>korrupcii</w:t>
            </w:r>
            <w:proofErr w:type="spellEnd"/>
            <w:r w:rsidRPr="00A755C2"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  <w:t>/</w:t>
            </w:r>
          </w:p>
        </w:tc>
        <w:tc>
          <w:tcPr>
            <w:tcW w:w="222" w:type="dxa"/>
          </w:tcPr>
          <w:p w:rsidR="00E2696E" w:rsidRDefault="00E2696E" w:rsidP="006C3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</w:pPr>
          </w:p>
        </w:tc>
        <w:tc>
          <w:tcPr>
            <w:tcW w:w="4739" w:type="dxa"/>
          </w:tcPr>
          <w:p w:rsidR="00A755C2" w:rsidRDefault="00E2696E" w:rsidP="00E26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  <w:t>Министерство</w:t>
            </w:r>
          </w:p>
          <w:p w:rsidR="00E2696E" w:rsidRDefault="00E2696E" w:rsidP="00E26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4472C5"/>
                <w:sz w:val="28"/>
                <w:szCs w:val="28"/>
              </w:rPr>
              <w:t>по физической культуре и спорту Республики Дагестан</w:t>
            </w:r>
          </w:p>
          <w:p w:rsidR="00A755C2" w:rsidRDefault="00A755C2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55C2" w:rsidRDefault="00AA55E6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2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очтовый адрес: </w:t>
            </w:r>
            <w:r w:rsidR="00E2696E" w:rsidRPr="00E2696E">
              <w:rPr>
                <w:rFonts w:ascii="Times New Roman" w:hAnsi="Times New Roman" w:cs="Times New Roman"/>
                <w:bCs/>
                <w:sz w:val="28"/>
                <w:szCs w:val="28"/>
              </w:rPr>
              <w:t>367015</w:t>
            </w:r>
            <w:r w:rsidR="00E2696E">
              <w:rPr>
                <w:rFonts w:ascii="Times New Roman" w:hAnsi="Times New Roman" w:cs="Times New Roman"/>
                <w:bCs/>
                <w:sz w:val="28"/>
                <w:szCs w:val="28"/>
              </w:rPr>
              <w:t>, Россия,</w:t>
            </w:r>
          </w:p>
          <w:p w:rsidR="00E2696E" w:rsidRDefault="00E2696E" w:rsidP="00E2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Махачкала, ул. М. Ярагского, 98</w:t>
            </w:r>
          </w:p>
          <w:p w:rsidR="00A755C2" w:rsidRDefault="00A755C2" w:rsidP="00A755C2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696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телефон для справок по вопросам рассмотрения жалоб и обращений:</w:t>
            </w:r>
          </w:p>
          <w:p w:rsidR="00A755C2" w:rsidRPr="00A755C2" w:rsidRDefault="0010095E" w:rsidP="00A755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тел. </w:t>
            </w:r>
            <w:r w:rsidR="00A755C2"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8</w:t>
            </w:r>
            <w:r w:rsidR="00A755C2" w:rsidRPr="00A755C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755C2"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(8722) 6</w:t>
            </w:r>
            <w:r w:rsidR="00A755C2" w:rsidRPr="00A755C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1</w:t>
            </w:r>
            <w:r w:rsidR="00A755C2"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-</w:t>
            </w:r>
            <w:r w:rsidR="00A755C2" w:rsidRPr="00A755C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11</w:t>
            </w:r>
            <w:r w:rsidR="00A755C2" w:rsidRPr="00E2696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-</w:t>
            </w:r>
            <w:r w:rsidR="00A755C2" w:rsidRPr="00A755C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24</w:t>
            </w:r>
          </w:p>
          <w:p w:rsidR="00CE3CE6" w:rsidRPr="006C3197" w:rsidRDefault="00CE3CE6" w:rsidP="00CE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31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Интернет-сайт:</w:t>
            </w:r>
          </w:p>
          <w:p w:rsidR="00CE3CE6" w:rsidRDefault="00275378" w:rsidP="00CE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563C2"/>
                <w:sz w:val="28"/>
                <w:szCs w:val="28"/>
              </w:rPr>
            </w:pPr>
            <w:hyperlink r:id="rId10" w:history="1">
              <w:r w:rsidR="00CE3CE6" w:rsidRPr="008C6AE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</w:t>
              </w:r>
              <w:r w:rsidR="00CE3CE6" w:rsidRPr="008C6AE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dagsport</w:t>
              </w:r>
              <w:r w:rsidR="00CE3CE6" w:rsidRPr="00A755C2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="00CE3CE6" w:rsidRPr="008C6AE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CE3CE6" w:rsidRPr="00E2696E" w:rsidRDefault="00CE3CE6" w:rsidP="00CE3CE6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696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Адрес электронной почты:</w:t>
            </w:r>
          </w:p>
          <w:p w:rsidR="00CE3CE6" w:rsidRDefault="00275378" w:rsidP="00CE3CE6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hyperlink r:id="rId11" w:history="1">
              <w:r w:rsidR="00CE3CE6">
                <w:rPr>
                  <w:rStyle w:val="a5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val="en-US"/>
                </w:rPr>
                <w:t>info</w:t>
              </w:r>
              <w:r w:rsidR="00CE3CE6" w:rsidRPr="008C6AE5">
                <w:rPr>
                  <w:rStyle w:val="a5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-</w:t>
              </w:r>
              <w:proofErr w:type="spellStart"/>
              <w:r w:rsidR="00CE3CE6" w:rsidRPr="008C6AE5">
                <w:rPr>
                  <w:rStyle w:val="a5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dag</w:t>
              </w:r>
              <w:proofErr w:type="spellEnd"/>
              <w:r w:rsidR="00CE3CE6">
                <w:rPr>
                  <w:rStyle w:val="a5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val="en-US"/>
                </w:rPr>
                <w:t>sport</w:t>
              </w:r>
              <w:r w:rsidR="00CE3CE6" w:rsidRPr="008C6AE5">
                <w:rPr>
                  <w:rStyle w:val="a5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.ru</w:t>
              </w:r>
            </w:hyperlink>
          </w:p>
          <w:p w:rsidR="00A755C2" w:rsidRDefault="00CE3CE6" w:rsidP="00CE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31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  <w:p w:rsidR="00CE3CE6" w:rsidRDefault="00CE3CE6" w:rsidP="00CE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31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«Противодействие коррупции»:</w:t>
            </w:r>
          </w:p>
          <w:p w:rsidR="00A755C2" w:rsidRPr="00A755C2" w:rsidRDefault="00A755C2" w:rsidP="00CE3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</w:pPr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val="en-US"/>
              </w:rPr>
              <w:t>www</w:t>
            </w:r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/</w:t>
            </w:r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val="en-US"/>
              </w:rPr>
              <w:t>dagsport</w:t>
            </w:r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.</w:t>
            </w:r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val="en-US"/>
              </w:rPr>
              <w:t>ru</w:t>
            </w:r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/</w:t>
            </w:r>
            <w:proofErr w:type="spellStart"/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val="en-US"/>
              </w:rPr>
              <w:t>protivodeystvie</w:t>
            </w:r>
            <w:proofErr w:type="spellEnd"/>
          </w:p>
          <w:p w:rsidR="00A755C2" w:rsidRPr="00E2696E" w:rsidRDefault="00A755C2" w:rsidP="00A75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_</w:t>
            </w:r>
            <w:proofErr w:type="spellStart"/>
            <w:r w:rsidRPr="00A755C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korruptsii</w:t>
            </w:r>
            <w:proofErr w:type="spellEnd"/>
          </w:p>
        </w:tc>
      </w:tr>
    </w:tbl>
    <w:p w:rsidR="00E2696E" w:rsidRDefault="00E2696E" w:rsidP="006C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5"/>
          <w:sz w:val="28"/>
          <w:szCs w:val="28"/>
        </w:rPr>
      </w:pPr>
    </w:p>
    <w:sectPr w:rsidR="00E2696E" w:rsidSect="009E5394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EC" w:rsidRDefault="00C063EC" w:rsidP="009E5394">
      <w:pPr>
        <w:spacing w:after="0" w:line="240" w:lineRule="auto"/>
      </w:pPr>
      <w:r>
        <w:separator/>
      </w:r>
    </w:p>
  </w:endnote>
  <w:endnote w:type="continuationSeparator" w:id="0">
    <w:p w:rsidR="00C063EC" w:rsidRDefault="00C063EC" w:rsidP="009E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EC" w:rsidRDefault="00C063EC" w:rsidP="009E5394">
      <w:pPr>
        <w:spacing w:after="0" w:line="240" w:lineRule="auto"/>
      </w:pPr>
      <w:r>
        <w:separator/>
      </w:r>
    </w:p>
  </w:footnote>
  <w:footnote w:type="continuationSeparator" w:id="0">
    <w:p w:rsidR="00C063EC" w:rsidRDefault="00C063EC" w:rsidP="009E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122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5394" w:rsidRPr="009E5394" w:rsidRDefault="009E539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3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53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53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378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E53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5394" w:rsidRDefault="009E53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7"/>
    <w:rsid w:val="00001600"/>
    <w:rsid w:val="00014B15"/>
    <w:rsid w:val="000472EC"/>
    <w:rsid w:val="000B6B4D"/>
    <w:rsid w:val="000E026A"/>
    <w:rsid w:val="0010095E"/>
    <w:rsid w:val="001745D6"/>
    <w:rsid w:val="001C3EB8"/>
    <w:rsid w:val="001D72A7"/>
    <w:rsid w:val="0025038B"/>
    <w:rsid w:val="00275378"/>
    <w:rsid w:val="00317B0B"/>
    <w:rsid w:val="00357C2D"/>
    <w:rsid w:val="00375964"/>
    <w:rsid w:val="003E52F2"/>
    <w:rsid w:val="004865EE"/>
    <w:rsid w:val="004D4CF3"/>
    <w:rsid w:val="00543DFB"/>
    <w:rsid w:val="005C33F9"/>
    <w:rsid w:val="00622F59"/>
    <w:rsid w:val="006437D0"/>
    <w:rsid w:val="006C3197"/>
    <w:rsid w:val="0071067E"/>
    <w:rsid w:val="00773E8B"/>
    <w:rsid w:val="00877D64"/>
    <w:rsid w:val="008D1029"/>
    <w:rsid w:val="0091041D"/>
    <w:rsid w:val="00917854"/>
    <w:rsid w:val="009E5394"/>
    <w:rsid w:val="009F3192"/>
    <w:rsid w:val="00A755C2"/>
    <w:rsid w:val="00AA55E6"/>
    <w:rsid w:val="00BC643D"/>
    <w:rsid w:val="00BE7166"/>
    <w:rsid w:val="00C063EC"/>
    <w:rsid w:val="00C500A6"/>
    <w:rsid w:val="00CE3CE6"/>
    <w:rsid w:val="00D47009"/>
    <w:rsid w:val="00D65CA0"/>
    <w:rsid w:val="00DA5650"/>
    <w:rsid w:val="00E109DF"/>
    <w:rsid w:val="00E2696E"/>
    <w:rsid w:val="00EE7630"/>
    <w:rsid w:val="00EF20E2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8A983-7C30-4B05-B869-AD25AD6B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2F2"/>
    <w:rPr>
      <w:b/>
      <w:bCs/>
    </w:rPr>
  </w:style>
  <w:style w:type="character" w:customStyle="1" w:styleId="apple-converted-space">
    <w:name w:val="apple-converted-space"/>
    <w:basedOn w:val="a0"/>
    <w:rsid w:val="003E52F2"/>
  </w:style>
  <w:style w:type="character" w:styleId="a5">
    <w:name w:val="Hyperlink"/>
    <w:basedOn w:val="a0"/>
    <w:uiPriority w:val="99"/>
    <w:unhideWhenUsed/>
    <w:rsid w:val="003E52F2"/>
    <w:rPr>
      <w:color w:val="0000FF"/>
      <w:u w:val="single"/>
    </w:rPr>
  </w:style>
  <w:style w:type="paragraph" w:styleId="a6">
    <w:name w:val="No Spacing"/>
    <w:uiPriority w:val="1"/>
    <w:qFormat/>
    <w:rsid w:val="003E52F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E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394"/>
  </w:style>
  <w:style w:type="paragraph" w:styleId="a9">
    <w:name w:val="footer"/>
    <w:basedOn w:val="a"/>
    <w:link w:val="aa"/>
    <w:uiPriority w:val="99"/>
    <w:unhideWhenUsed/>
    <w:rsid w:val="009E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394"/>
  </w:style>
  <w:style w:type="table" w:styleId="ab">
    <w:name w:val="Table Grid"/>
    <w:basedOn w:val="a1"/>
    <w:uiPriority w:val="59"/>
    <w:rsid w:val="000E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75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proc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rok-dagestan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dagspor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k-dagest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2018-11-28T08:50:00Z</dcterms:created>
  <dcterms:modified xsi:type="dcterms:W3CDTF">2018-11-28T08:50:00Z</dcterms:modified>
</cp:coreProperties>
</file>